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Паспорт 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инвестиционной площадки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Анжеро-Судженск, площадка ликвидированного</w:t>
      </w:r>
      <w:r/>
      <w:bookmarkStart w:id="0" w:name="_GoBack"/>
      <w:r/>
      <w:bookmarkEnd w:id="0"/>
      <w:r/>
      <w:r>
        <w:rPr>
          <w:rFonts w:ascii="Times New Roman" w:hAnsi="Times New Roman"/>
          <w:b/>
          <w:sz w:val="28"/>
        </w:rPr>
        <w:t xml:space="preserve"> кирпичного завода</w:t>
      </w: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Рекомендуемый формат наименования инвестиционной площадки: МО, наименования площадки</w:t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794"/>
        <w:gridCol w:w="6266"/>
      </w:tblGrid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>Инвестиционная площадка П1- производственная зона</w:t>
            </w:r>
            <w:r>
              <w:rPr>
                <w:rFonts w:ascii="Times New Roman" w:hAnsi="Times New Roman"/>
                <w:sz w:val="16"/>
              </w:rPr>
              <w:t xml:space="preserve">                                                                                  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(указывается возможное использование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Строительная промышленность: размещение объектов капитального строительства, предназначенных для производства строительных материалов (кирпичей, пиломатериалов, цемента, крепежных материалов)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600" w:firstRow="0" w:lastRow="0" w:firstColumn="0" w:lastColumn="0" w:noHBand="1" w:noVBand="1"/>
      </w:tblPr>
      <w:tblGrid>
        <w:gridCol w:w="3673"/>
        <w:gridCol w:w="6361"/>
      </w:tblGrid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Кемеровская область, г. Анжеро-Судженск,31 микрорайон Восточного жилого района, ул. Айвазовского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объектов (в км):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8.6 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прямой 0,25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дорогам общего пользования 0,3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асфальтовое покрытие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грунтовое покрытие 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Иное___________________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 нет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расстоянии 5 км от границы площадки по дорогам общего пользования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км. № полигона в ГРОРО 42-00322-З-00552-070715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823"/>
        <w:gridCol w:w="6237"/>
      </w:tblGrid>
      <w:tr>
        <w:trPr>
          <w:tblHeader w:val="0"/>
          <w:cantSplit w:val="0"/>
          <w:trHeight w:val="380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муниципальная собственность </w:t>
            </w:r>
          </w:p>
        </w:tc>
      </w:tr>
      <w:tr>
        <w:trPr>
          <w:tblHeader w:val="0"/>
          <w:cantSplit w:val="0"/>
          <w:trHeight w:val="225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земли населенных пунктов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не проведено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42:20:0103020:2242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030" w:type="dxa"/>
        <w:tblLook w:val="0600" w:firstRow="0" w:lastRow="0" w:firstColumn="0" w:lastColumn="0" w:noHBand="1" w:noVBand="1"/>
      </w:tblPr>
      <w:tblGrid>
        <w:gridCol w:w="4382"/>
        <w:gridCol w:w="5648"/>
      </w:tblGrid>
      <w:tr>
        <w:trPr>
          <w:tblHeader w:val="0"/>
          <w:cantSplit w:val="0"/>
          <w:trHeight w:val="279" w:hRule="atLeast"/>
        </w:trPr>
        <w:tc>
          <w:tcPr>
            <w:tcW w:w="438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 в га</w:t>
            </w:r>
          </w:p>
        </w:tc>
        <w:tc>
          <w:tcPr>
            <w:tcW w:w="56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ind w:left="0"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2.331 </w:t>
            </w:r>
          </w:p>
        </w:tc>
      </w:tr>
      <w:tr>
        <w:trPr>
          <w:tblHeader w:val="0"/>
          <w:cantSplit w:val="0"/>
          <w:trHeight w:val="591" w:hRule="atLeast"/>
        </w:trPr>
        <w:tc>
          <w:tcPr>
            <w:tcW w:w="438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Возможность расширения</w:t>
            </w:r>
          </w:p>
        </w:tc>
        <w:tc>
          <w:tcPr>
            <w:tcW w:w="56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есть (до 2,5 га)</w:t>
            </w:r>
          </w:p>
        </w:tc>
      </w:tr>
      <w:tr>
        <w:trPr>
          <w:tblHeader w:val="0"/>
          <w:cantSplit w:val="0"/>
          <w:trHeight w:val="660" w:hRule="atLeast"/>
        </w:trPr>
        <w:tc>
          <w:tcPr>
            <w:tcW w:w="438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Стоимость ориентировочная, тыс.руб.</w:t>
            </w:r>
          </w:p>
        </w:tc>
        <w:tc>
          <w:tcPr>
            <w:tcW w:w="56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Приобретения 46 004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Аренды в месяц 46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1243" w:hRule="atLeast"/>
        </w:trPr>
        <w:tc>
          <w:tcPr>
            <w:tcW w:w="438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Возможные меры поддержки</w:t>
            </w:r>
          </w:p>
        </w:tc>
        <w:tc>
          <w:tcPr>
            <w:tcW w:w="56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ОЭЗ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ФРМ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Другие 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tblHeader w:val="0"/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ind w:left="-108" w:firstLine="0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Поставщик ресурса</w:t>
            </w:r>
          </w:p>
        </w:tc>
      </w:tr>
      <w:tr>
        <w:trPr>
          <w:tblHeader w:val="0"/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tblHeader w:val="0"/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 w:val="0"/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 w:val="0"/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КТП-24,250кВа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ТП-кирзавод,250кВа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355 кВт(без учета строительства новых ТП)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tblHeader w:val="0"/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Ø100мм. Гарантированное давление линии водоснабжения – 1,4атм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Ø100мм. Гарантированное давление линии водоснабжения – 1,4атм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tblHeader w:val="0"/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Ø100мм.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Ø100мм.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1,95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 Основные параметры расположенных на площадке зданий и сооружений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2"/>
      </w:r>
      <w:r>
        <w:rPr>
          <w:rFonts w:ascii="Times New Roman" w:hAnsi="Times New Roman"/>
          <w:b/>
        </w:rPr>
        <w:t xml:space="preserve">: </w:t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сооружения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Площадь, м</w:t>
            </w:r>
            <w:r>
              <w:rPr>
                <w:rFonts w:ascii="Times New Roman" w:hAnsi="Times New Roman"/>
                <w:sz w:val="16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Этажность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Высота этажа, м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Строительный материал конструкции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Состояние, степень износа, %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Возможность расширения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Использование в настоящее время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</w:tr>
    </w:tbl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 Характеристика доступной ресурсно-сырьевой базы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3"/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7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1527"/>
        <w:gridCol w:w="2835"/>
        <w:gridCol w:w="1844"/>
        <w:gridCol w:w="3857"/>
      </w:tblGrid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Вид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Величина разведанных/ подтвержденных запасов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Статус месторождения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каменный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геологические запасы более 1,5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Яшкинского и Кемеровского районов, от р. Кайгур до г. Анжеро-Судженска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алюминиевые руды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10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железная руда (магнетитовая)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500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междуречье р. Алчедат и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кварциты Антоновской группы месторождений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Пгт. Рудничный 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(Китатское месторождение, территория Яйского района, по реке Китат между пос. Улановка и пос. Вознесенка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расположено в 9 км от ст. Анжерская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Яйского, Яшкинского районов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600" w:firstRow="0" w:lastRow="0" w:firstColumn="0" w:lastColumn="0" w:noHBand="1" w:noVBand="1"/>
      </w:tblPr>
      <w:tblGrid>
        <w:gridCol w:w="4395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0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Владелец (собственник)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КУМИ администрации Анжеро-Судженского городского округа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tblHeader w:val="0"/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138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8" w:history="1">
              <w:r>
                <w:rPr>
                  <w:rStyle w:val="char14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9" w:history="1">
              <w:r>
                <w:rPr>
                  <w:rStyle w:val="char14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1134" w:right="851" w:bottom="1134" w:header="0" w:footer="0"/>
          <w:paperSrc w:first="0" w:other="0" a="0" b="0"/>
          <w:pgNumType w:fmt="decimal" w:start="0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firstLine="708"/>
        <w:rPr>
          <w:rFonts w:ascii="Times New Roman" w:hAnsi="Times New Roman"/>
          <w:i/>
          <w:sz w:val="16"/>
        </w:rPr>
      </w:pPr>
      <w:r/>
      <w:r>
        <w:rPr>
          <w:noProof/>
        </w:rPr>
        <w:drawing>
          <wp:inline distT="0" distB="0" distL="114300" distR="114300">
            <wp:extent cx="8782050" cy="6381750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extLst>
                        <a:ext uri="sm">
                          <sm:smNativeData xmlns:sm="sm" val="SMDATA_16_ai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EMCAAD8AQAAHg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BjYAAEIn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rcRect t="5790" r="5080" b="7980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i/>
          <w:sz w:val="16"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8867775" cy="6391275"/>
            <wp:effectExtent l="0" t="0" r="0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extLst>
                        <a:ext uri="sm">
                          <sm:smNativeData xmlns:sm="sm" val="SMDATA_16_ai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0CAACfAQAA9w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lAAAAB6AAAAAAAAAAAAAAAAAAAAAAAAAAAAAAAAAAAAAAAAAAAAAAjTYAAFE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6050" r="4150" b="759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8667750" cy="6162675"/>
            <wp:effectExtent l="0" t="0" r="0" b="0"/>
            <wp:docPr id="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extLst>
                        <a:ext uri="sm">
                          <sm:smNativeData xmlns:sm="sm" val="SMDATA_16_aiC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+QkAAPcCAABsCQAAkg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B6AAAAAAAAAAAAAAAAAAAAAAAAAAAAAAAAAAAAAAAAAAAAAAUjUAAOkl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l="25530" t="7590" r="24120" b="914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Arial">
    <w:charset w:val="00"/>
    <w:family w:val="auto"/>
    <w:pitch w:val="default"/>
  </w:font>
  <w:font w:name="XO Thames">
    <w:charset w:val="00"/>
    <w:family w:val="roman"/>
    <w:pitch w:val="default"/>
  </w:font>
  <w:font w:name="Segoe UI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2">
    <w:p>
      <w:pPr>
        <w:pStyle w:val="para16"/>
      </w:pPr>
      <w:r>
        <w:rPr>
          <w:vertAlign w:val="superscript"/>
        </w:rPr>
      </w:r>
      <w:r>
        <w:rPr>
          <w:vertAlign w:val="superscript"/>
        </w:rPr>
        <w:footnoteRef/>
      </w:r>
      <w:r>
        <w:t xml:space="preserve"> Заполняется по каждому объекту недвижимости </w:t>
      </w:r>
    </w:p>
  </w:footnote>
  <w:footnote w:id="3">
    <w:p>
      <w:pPr>
        <w:pStyle w:val="para16"/>
      </w:pPr>
      <w:r>
        <w:rPr>
          <w:vertAlign w:val="superscript"/>
        </w:rPr>
      </w:r>
      <w:r>
        <w:rPr>
          <w:vertAlign w:val="superscript"/>
        </w:rPr>
        <w:footnoteRef/>
      </w:r>
      <w:r>
        <w:t>Для инвестиционных площадок производственного назначения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3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2"/>
    <w:tmLastPosSelect w:val="0"/>
    <w:tmLastPosFrameIdx w:val="174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73740138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List Paragraph"/>
    <w:qFormat/>
    <w:basedOn w:val="para0"/>
    <w:pPr>
      <w:ind w:left="720"/>
      <w:contextualSpacing/>
    </w:pPr>
  </w:style>
  <w:style w:type="paragraph" w:styleId="para2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3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5" w:customStyle="1">
    <w:name w:val="Unresolved Mention"/>
    <w:qFormat/>
    <w:basedOn w:val="para4"/>
    <w:rPr>
      <w:color w:val="605e5c"/>
      <w:shd w:val="clear" w:fill="e1dfdd"/>
    </w:rPr>
  </w:style>
  <w:style w:type="paragraph" w:styleId="para6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7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8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9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10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1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12">
    <w:name w:val="Balloon Text"/>
    <w:qFormat/>
    <w:basedOn w:val="para0"/>
    <w:rPr>
      <w:rFonts w:ascii="Segoe UI" w:hAnsi="Segoe UI"/>
      <w:sz w:val="18"/>
    </w:rPr>
  </w:style>
  <w:style w:type="paragraph" w:styleId="para13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4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5" w:customStyle="1">
    <w:name w:val="Гиперссылка"/>
    <w:qFormat/>
    <w:basedOn w:val="para4"/>
    <w:rPr>
      <w:color w:val="0563c1"/>
      <w:u w:color="auto" w:val="single"/>
    </w:rPr>
  </w:style>
  <w:style w:type="paragraph" w:styleId="para16" w:customStyle="1">
    <w:name w:val="Footnote"/>
    <w:qFormat/>
    <w:basedOn w:val="para0"/>
    <w:rPr>
      <w:rFonts w:ascii="Times New Roman" w:hAnsi="Times New Roman"/>
      <w:sz w:val="20"/>
    </w:rPr>
  </w:style>
  <w:style w:type="paragraph" w:styleId="para17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8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9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5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Абзац списка"/>
    <w:basedOnNormal/>
  </w:style>
  <w:style w:type="character" w:styleId="char2" w:customStyle="1">
    <w:name w:val="Оглавление 2"/>
    <w:rPr>
      <w:rFonts w:ascii="XO Thames" w:hAnsi="XO Thames"/>
      <w:sz w:val="28"/>
    </w:rPr>
  </w:style>
  <w:style w:type="character" w:styleId="char3" w:customStyle="1">
    <w:name w:val="Оглавление 4"/>
    <w:rPr>
      <w:rFonts w:ascii="XO Thames" w:hAnsi="XO Thames"/>
      <w:sz w:val="28"/>
    </w:rPr>
  </w:style>
  <w:style w:type="character" w:styleId="char4" w:customStyle="1">
    <w:name w:val="Unresolved Mention"/>
    <w:basedOn w:val="char0"/>
    <w:rPr>
      <w:color w:val="605e5c"/>
      <w:shd w:val="clear" w:fill="e1dfdd"/>
    </w:rPr>
  </w:style>
  <w:style w:type="character" w:styleId="char5" w:customStyle="1">
    <w:name w:val="Оглавление 6"/>
    <w:rPr>
      <w:rFonts w:ascii="XO Thames" w:hAnsi="XO Thames"/>
      <w:sz w:val="28"/>
    </w:rPr>
  </w:style>
  <w:style w:type="character" w:styleId="char6" w:customStyle="1">
    <w:name w:val="Оглавление 7"/>
    <w:rPr>
      <w:rFonts w:ascii="XO Thames" w:hAnsi="XO Thames"/>
      <w:sz w:val="28"/>
    </w:rPr>
  </w:style>
  <w:style w:type="character" w:styleId="char7" w:customStyle="1">
    <w:name w:val="Заголовок 3"/>
    <w:rPr>
      <w:rFonts w:ascii="XO Thames" w:hAnsi="XO Thames"/>
      <w:b/>
      <w:sz w:val="26"/>
    </w:rPr>
  </w:style>
  <w:style w:type="character" w:styleId="char8" w:customStyle="1">
    <w:name w:val="Без интервала"/>
  </w:style>
  <w:style w:type="character" w:styleId="char9" w:customStyle="1">
    <w:name w:val="Оглавление 3"/>
    <w:rPr>
      <w:rFonts w:ascii="XO Thames" w:hAnsi="XO Thames"/>
      <w:sz w:val="28"/>
    </w:rPr>
  </w:style>
  <w:style w:type="character" w:styleId="char10">
    <w:name w:val="Footnote Reference"/>
    <w:rPr>
      <w:vertAlign w:val="superscript"/>
    </w:rPr>
  </w:style>
  <w:style w:type="character" w:styleId="char11" w:customStyle="1">
    <w:name w:val="Текст выноски"/>
    <w:basedOnNormal/>
    <w:rPr>
      <w:rFonts w:ascii="Segoe UI" w:hAnsi="Segoe UI"/>
      <w:sz w:val="18"/>
    </w:rPr>
  </w:style>
  <w:style w:type="character" w:styleId="char12" w:customStyle="1">
    <w:name w:val="Заголовок 5"/>
    <w:rPr>
      <w:rFonts w:ascii="XO Thames" w:hAnsi="XO Thames"/>
      <w:b/>
      <w:sz w:val="22"/>
    </w:rPr>
  </w:style>
  <w:style w:type="character" w:styleId="char13" w:customStyle="1">
    <w:name w:val="Заголовок 1"/>
    <w:rPr>
      <w:rFonts w:ascii="XO Thames" w:hAnsi="XO Thames"/>
      <w:b/>
      <w:sz w:val="32"/>
    </w:rPr>
  </w:style>
  <w:style w:type="character" w:styleId="char14">
    <w:name w:val="Hyperlink"/>
    <w:basedOn w:val="char0"/>
    <w:rPr>
      <w:color w:val="0563c1"/>
      <w:u w:color="auto" w:val="single"/>
    </w:rPr>
  </w:style>
  <w:style w:type="character" w:styleId="char15" w:customStyle="1">
    <w:name w:val="Footnote"/>
    <w:basedOnNormal/>
    <w:rPr>
      <w:rFonts w:ascii="Times New Roman" w:hAnsi="Times New Roman"/>
      <w:sz w:val="20"/>
    </w:rPr>
  </w:style>
  <w:style w:type="character" w:styleId="char16" w:customStyle="1">
    <w:name w:val="Оглавление 1"/>
    <w:rPr>
      <w:rFonts w:ascii="XO Thames" w:hAnsi="XO Thames"/>
      <w:b/>
      <w:sz w:val="28"/>
    </w:rPr>
  </w:style>
  <w:style w:type="character" w:styleId="char17" w:customStyle="1">
    <w:name w:val="Header and Footer"/>
    <w:rPr>
      <w:rFonts w:ascii="XO Thames" w:hAnsi="XO Thames"/>
      <w:sz w:val="20"/>
    </w:rPr>
  </w:style>
  <w:style w:type="character" w:styleId="char18" w:customStyle="1">
    <w:name w:val="Оглавление 9"/>
    <w:rPr>
      <w:rFonts w:ascii="XO Thames" w:hAnsi="XO Thames"/>
      <w:sz w:val="28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Default"/>
    <w:rPr>
      <w:rFonts w:ascii="Times New Roman" w:hAnsi="Times New Roman"/>
      <w:color w:val="000000"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List Paragraph"/>
    <w:qFormat/>
    <w:basedOn w:val="para0"/>
    <w:pPr>
      <w:ind w:left="720"/>
      <w:contextualSpacing/>
    </w:pPr>
  </w:style>
  <w:style w:type="paragraph" w:styleId="para2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3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5" w:customStyle="1">
    <w:name w:val="Unresolved Mention"/>
    <w:qFormat/>
    <w:basedOn w:val="para4"/>
    <w:rPr>
      <w:color w:val="605e5c"/>
      <w:shd w:val="clear" w:fill="e1dfdd"/>
    </w:rPr>
  </w:style>
  <w:style w:type="paragraph" w:styleId="para6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7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8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9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10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1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12">
    <w:name w:val="Balloon Text"/>
    <w:qFormat/>
    <w:basedOn w:val="para0"/>
    <w:rPr>
      <w:rFonts w:ascii="Segoe UI" w:hAnsi="Segoe UI"/>
      <w:sz w:val="18"/>
    </w:rPr>
  </w:style>
  <w:style w:type="paragraph" w:styleId="para13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4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5" w:customStyle="1">
    <w:name w:val="Гиперссылка"/>
    <w:qFormat/>
    <w:basedOn w:val="para4"/>
    <w:rPr>
      <w:color w:val="0563c1"/>
      <w:u w:color="auto" w:val="single"/>
    </w:rPr>
  </w:style>
  <w:style w:type="paragraph" w:styleId="para16" w:customStyle="1">
    <w:name w:val="Footnote"/>
    <w:qFormat/>
    <w:basedOn w:val="para0"/>
    <w:rPr>
      <w:rFonts w:ascii="Times New Roman" w:hAnsi="Times New Roman"/>
      <w:sz w:val="20"/>
    </w:rPr>
  </w:style>
  <w:style w:type="paragraph" w:styleId="para17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8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9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5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Абзац списка"/>
    <w:basedOnNormal/>
  </w:style>
  <w:style w:type="character" w:styleId="char2" w:customStyle="1">
    <w:name w:val="Оглавление 2"/>
    <w:rPr>
      <w:rFonts w:ascii="XO Thames" w:hAnsi="XO Thames"/>
      <w:sz w:val="28"/>
    </w:rPr>
  </w:style>
  <w:style w:type="character" w:styleId="char3" w:customStyle="1">
    <w:name w:val="Оглавление 4"/>
    <w:rPr>
      <w:rFonts w:ascii="XO Thames" w:hAnsi="XO Thames"/>
      <w:sz w:val="28"/>
    </w:rPr>
  </w:style>
  <w:style w:type="character" w:styleId="char4" w:customStyle="1">
    <w:name w:val="Unresolved Mention"/>
    <w:basedOn w:val="char0"/>
    <w:rPr>
      <w:color w:val="605e5c"/>
      <w:shd w:val="clear" w:fill="e1dfdd"/>
    </w:rPr>
  </w:style>
  <w:style w:type="character" w:styleId="char5" w:customStyle="1">
    <w:name w:val="Оглавление 6"/>
    <w:rPr>
      <w:rFonts w:ascii="XO Thames" w:hAnsi="XO Thames"/>
      <w:sz w:val="28"/>
    </w:rPr>
  </w:style>
  <w:style w:type="character" w:styleId="char6" w:customStyle="1">
    <w:name w:val="Оглавление 7"/>
    <w:rPr>
      <w:rFonts w:ascii="XO Thames" w:hAnsi="XO Thames"/>
      <w:sz w:val="28"/>
    </w:rPr>
  </w:style>
  <w:style w:type="character" w:styleId="char7" w:customStyle="1">
    <w:name w:val="Заголовок 3"/>
    <w:rPr>
      <w:rFonts w:ascii="XO Thames" w:hAnsi="XO Thames"/>
      <w:b/>
      <w:sz w:val="26"/>
    </w:rPr>
  </w:style>
  <w:style w:type="character" w:styleId="char8" w:customStyle="1">
    <w:name w:val="Без интервала"/>
  </w:style>
  <w:style w:type="character" w:styleId="char9" w:customStyle="1">
    <w:name w:val="Оглавление 3"/>
    <w:rPr>
      <w:rFonts w:ascii="XO Thames" w:hAnsi="XO Thames"/>
      <w:sz w:val="28"/>
    </w:rPr>
  </w:style>
  <w:style w:type="character" w:styleId="char10">
    <w:name w:val="Footnote Reference"/>
    <w:rPr>
      <w:vertAlign w:val="superscript"/>
    </w:rPr>
  </w:style>
  <w:style w:type="character" w:styleId="char11" w:customStyle="1">
    <w:name w:val="Текст выноски"/>
    <w:basedOnNormal/>
    <w:rPr>
      <w:rFonts w:ascii="Segoe UI" w:hAnsi="Segoe UI"/>
      <w:sz w:val="18"/>
    </w:rPr>
  </w:style>
  <w:style w:type="character" w:styleId="char12" w:customStyle="1">
    <w:name w:val="Заголовок 5"/>
    <w:rPr>
      <w:rFonts w:ascii="XO Thames" w:hAnsi="XO Thames"/>
      <w:b/>
      <w:sz w:val="22"/>
    </w:rPr>
  </w:style>
  <w:style w:type="character" w:styleId="char13" w:customStyle="1">
    <w:name w:val="Заголовок 1"/>
    <w:rPr>
      <w:rFonts w:ascii="XO Thames" w:hAnsi="XO Thames"/>
      <w:b/>
      <w:sz w:val="32"/>
    </w:rPr>
  </w:style>
  <w:style w:type="character" w:styleId="char14">
    <w:name w:val="Hyperlink"/>
    <w:basedOn w:val="char0"/>
    <w:rPr>
      <w:color w:val="0563c1"/>
      <w:u w:color="auto" w:val="single"/>
    </w:rPr>
  </w:style>
  <w:style w:type="character" w:styleId="char15" w:customStyle="1">
    <w:name w:val="Footnote"/>
    <w:basedOnNormal/>
    <w:rPr>
      <w:rFonts w:ascii="Times New Roman" w:hAnsi="Times New Roman"/>
      <w:sz w:val="20"/>
    </w:rPr>
  </w:style>
  <w:style w:type="character" w:styleId="char16" w:customStyle="1">
    <w:name w:val="Оглавление 1"/>
    <w:rPr>
      <w:rFonts w:ascii="XO Thames" w:hAnsi="XO Thames"/>
      <w:b/>
      <w:sz w:val="28"/>
    </w:rPr>
  </w:style>
  <w:style w:type="character" w:styleId="char17" w:customStyle="1">
    <w:name w:val="Header and Footer"/>
    <w:rPr>
      <w:rFonts w:ascii="XO Thames" w:hAnsi="XO Thames"/>
      <w:sz w:val="20"/>
    </w:rPr>
  </w:style>
  <w:style w:type="character" w:styleId="char18" w:customStyle="1">
    <w:name w:val="Оглавление 9"/>
    <w:rPr>
      <w:rFonts w:ascii="XO Thames" w:hAnsi="XO Thames"/>
      <w:sz w:val="28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Default"/>
    <w:rPr>
      <w:rFonts w:ascii="Times New Roman" w:hAnsi="Times New Roman"/>
      <w:color w:val="000000"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footnotes" Target="footnotes.xml"/><Relationship Id="rId8" Type="http://schemas.openxmlformats.org/officeDocument/2006/relationships/hyperlink" Target="mailto:upp@anzhero.ru" TargetMode="External"/><Relationship Id="rId9" Type="http://schemas.openxmlformats.org/officeDocument/2006/relationships/hyperlink" Target="mailto:promotdel@anzhero.ru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Arial"/>
        <a:ea typeface="Basic Roman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2025-10-14T07:58:57Z</dcterms:created>
  <dcterms:modified xsi:type="dcterms:W3CDTF">2026-03-17T09:35:38Z</dcterms:modified>
</cp:coreProperties>
</file>